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1101" w14:textId="1A878538" w:rsidR="00C10981" w:rsidRPr="00C10981" w:rsidRDefault="00C10981" w:rsidP="00C10981">
      <w:pPr>
        <w:spacing w:before="240" w:line="276" w:lineRule="auto"/>
        <w:jc w:val="center"/>
        <w:rPr>
          <w:rFonts w:ascii="Times New Roman" w:hAnsi="Times New Roman" w:cs="Times New Roman"/>
          <w:sz w:val="24"/>
          <w:szCs w:val="24"/>
        </w:rPr>
      </w:pPr>
      <w:r w:rsidRPr="00C10981">
        <w:rPr>
          <w:rFonts w:ascii="Times New Roman" w:hAnsi="Times New Roman" w:cs="Times New Roman"/>
          <w:b/>
          <w:sz w:val="24"/>
          <w:szCs w:val="24"/>
        </w:rPr>
        <w:t>Agreement on Insurance Services</w:t>
      </w:r>
    </w:p>
    <w:p w14:paraId="6CD01F90" w14:textId="77777777" w:rsidR="00C10981" w:rsidRPr="00C10981" w:rsidRDefault="00C10981" w:rsidP="00C10981">
      <w:pPr>
        <w:spacing w:before="240" w:line="276" w:lineRule="auto"/>
        <w:jc w:val="center"/>
        <w:rPr>
          <w:rFonts w:ascii="Times New Roman" w:hAnsi="Times New Roman" w:cs="Times New Roman"/>
          <w:sz w:val="24"/>
          <w:szCs w:val="24"/>
        </w:rPr>
      </w:pPr>
      <w:r w:rsidRPr="00C10981">
        <w:rPr>
          <w:rFonts w:ascii="Times New Roman" w:hAnsi="Times New Roman" w:cs="Times New Roman"/>
          <w:b/>
          <w:sz w:val="24"/>
          <w:szCs w:val="24"/>
        </w:rPr>
        <w:t>Information Sheet on the Terms of Insurance of the Bank’s Credit Portfolio against the Risk of Death of the Borrower/Borrowers</w:t>
      </w:r>
    </w:p>
    <w:p w14:paraId="0757CD1B" w14:textId="77777777" w:rsidR="00C10981" w:rsidRPr="00C10981" w:rsidRDefault="00C10981" w:rsidP="00C10981">
      <w:pPr>
        <w:spacing w:before="240" w:line="276" w:lineRule="auto"/>
        <w:jc w:val="center"/>
        <w:rPr>
          <w:rFonts w:ascii="Times New Roman" w:hAnsi="Times New Roman" w:cs="Times New Roman"/>
          <w:sz w:val="24"/>
          <w:szCs w:val="24"/>
        </w:rPr>
      </w:pPr>
      <w:r w:rsidRPr="00C10981">
        <w:rPr>
          <w:rFonts w:ascii="Times New Roman" w:hAnsi="Times New Roman" w:cs="Times New Roman"/>
          <w:sz w:val="24"/>
          <w:szCs w:val="24"/>
        </w:rPr>
        <w:t>The insurance terms defined by this Information Sheet apply to those borrowers who, at the time of entering into a credit agreement with the Bank, chose that their credit be included in the part of the Bank’s credit portfolio insured with JSC “Insurance Company GPI Holding” (ID No.: 204426674).</w:t>
      </w:r>
    </w:p>
    <w:p w14:paraId="4E64269A" w14:textId="7B8F4B1B"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Parties Participating in the Insurance</w:t>
      </w:r>
    </w:p>
    <w:p w14:paraId="7329B8B6" w14:textId="1E3E73B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Insurer</w:t>
      </w:r>
      <w:r w:rsidRPr="00C10981">
        <w:rPr>
          <w:rFonts w:ascii="Times New Roman" w:hAnsi="Times New Roman" w:cs="Times New Roman"/>
          <w:sz w:val="24"/>
          <w:szCs w:val="24"/>
        </w:rPr>
        <w:t xml:space="preserve"> - JSC “Insurance Company GPI Holding” (ID No.: 204426674).</w:t>
      </w:r>
    </w:p>
    <w:p w14:paraId="22A004FF" w14:textId="2204AFA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Insured</w:t>
      </w:r>
      <w:r w:rsidRPr="00C10981">
        <w:rPr>
          <w:rFonts w:ascii="Times New Roman" w:hAnsi="Times New Roman" w:cs="Times New Roman"/>
          <w:sz w:val="24"/>
          <w:szCs w:val="24"/>
        </w:rPr>
        <w:t xml:space="preserve"> - the borrower of JSC “</w:t>
      </w:r>
      <w:proofErr w:type="spellStart"/>
      <w:r w:rsidRPr="00C10981">
        <w:rPr>
          <w:rFonts w:ascii="Times New Roman" w:hAnsi="Times New Roman" w:cs="Times New Roman"/>
          <w:sz w:val="24"/>
          <w:szCs w:val="24"/>
        </w:rPr>
        <w:t>Terabank</w:t>
      </w:r>
      <w:proofErr w:type="spellEnd"/>
      <w:r w:rsidRPr="00C10981">
        <w:rPr>
          <w:rFonts w:ascii="Times New Roman" w:hAnsi="Times New Roman" w:cs="Times New Roman"/>
          <w:sz w:val="24"/>
          <w:szCs w:val="24"/>
        </w:rPr>
        <w:t>”.</w:t>
      </w:r>
    </w:p>
    <w:p w14:paraId="6FEC6D3F" w14:textId="42938D66"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Beneficiary/Bank/Policyholder</w:t>
      </w:r>
      <w:r w:rsidRPr="00C10981">
        <w:rPr>
          <w:rFonts w:ascii="Times New Roman" w:hAnsi="Times New Roman" w:cs="Times New Roman"/>
          <w:sz w:val="24"/>
          <w:szCs w:val="24"/>
        </w:rPr>
        <w:t xml:space="preserve"> - under the present insurance terms, the beneficiary is JSC “</w:t>
      </w:r>
      <w:proofErr w:type="spellStart"/>
      <w:r w:rsidRPr="00C10981">
        <w:rPr>
          <w:rFonts w:ascii="Times New Roman" w:hAnsi="Times New Roman" w:cs="Times New Roman"/>
          <w:sz w:val="24"/>
          <w:szCs w:val="24"/>
        </w:rPr>
        <w:t>Terabank</w:t>
      </w:r>
      <w:proofErr w:type="spellEnd"/>
      <w:r w:rsidRPr="00C10981">
        <w:rPr>
          <w:rFonts w:ascii="Times New Roman" w:hAnsi="Times New Roman" w:cs="Times New Roman"/>
          <w:sz w:val="24"/>
          <w:szCs w:val="24"/>
        </w:rPr>
        <w:t>” (identification number 204546045).</w:t>
      </w:r>
    </w:p>
    <w:p w14:paraId="5C27F615" w14:textId="54D3E39C"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Borrower</w:t>
      </w:r>
      <w:r w:rsidRPr="00C10981">
        <w:rPr>
          <w:rFonts w:ascii="Times New Roman" w:hAnsi="Times New Roman" w:cs="Times New Roman"/>
          <w:sz w:val="24"/>
          <w:szCs w:val="24"/>
        </w:rPr>
        <w:t xml:space="preserve"> - a debtor natural person who is a party to the relevant credit agreement concluded with JSC “Tera Bank”.</w:t>
      </w:r>
    </w:p>
    <w:p w14:paraId="04186890" w14:textId="79601EFD"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Insured Event</w:t>
      </w:r>
      <w:r w:rsidRPr="00C10981">
        <w:rPr>
          <w:rFonts w:ascii="Times New Roman" w:hAnsi="Times New Roman" w:cs="Times New Roman"/>
          <w:sz w:val="24"/>
          <w:szCs w:val="24"/>
        </w:rPr>
        <w:t xml:space="preserve"> - the death of the Insured for any reason, including death caused by an accident, subject to the exclusions established by this Agreement.</w:t>
      </w:r>
    </w:p>
    <w:p w14:paraId="37700320" w14:textId="38A7F110"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bCs/>
          <w:sz w:val="24"/>
          <w:szCs w:val="24"/>
        </w:rPr>
        <w:t>Credit Agreement</w:t>
      </w:r>
      <w:r w:rsidRPr="00C10981">
        <w:rPr>
          <w:rFonts w:ascii="Times New Roman" w:hAnsi="Times New Roman" w:cs="Times New Roman"/>
          <w:sz w:val="24"/>
          <w:szCs w:val="24"/>
        </w:rPr>
        <w:t xml:space="preserve"> - an agreement concluded between JSC “</w:t>
      </w:r>
      <w:proofErr w:type="spellStart"/>
      <w:r w:rsidRPr="00C10981">
        <w:rPr>
          <w:rFonts w:ascii="Times New Roman" w:hAnsi="Times New Roman" w:cs="Times New Roman"/>
          <w:sz w:val="24"/>
          <w:szCs w:val="24"/>
        </w:rPr>
        <w:t>Terabank</w:t>
      </w:r>
      <w:proofErr w:type="spellEnd"/>
      <w:r w:rsidRPr="00C10981">
        <w:rPr>
          <w:rFonts w:ascii="Times New Roman" w:hAnsi="Times New Roman" w:cs="Times New Roman"/>
          <w:sz w:val="24"/>
          <w:szCs w:val="24"/>
        </w:rPr>
        <w:t>” and the Borrower, which determines the terms of use of the relevant loan.</w:t>
      </w:r>
    </w:p>
    <w:p w14:paraId="4A734413" w14:textId="77777777" w:rsidR="00606106" w:rsidRPr="00606106" w:rsidRDefault="00606106" w:rsidP="00606106">
      <w:pPr>
        <w:spacing w:before="240" w:line="276" w:lineRule="auto"/>
        <w:jc w:val="both"/>
        <w:rPr>
          <w:rFonts w:ascii="Times New Roman" w:hAnsi="Times New Roman" w:cs="Times New Roman"/>
          <w:sz w:val="24"/>
          <w:szCs w:val="24"/>
        </w:rPr>
      </w:pPr>
    </w:p>
    <w:p w14:paraId="5F34BFE9" w14:textId="6814009C"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Sum Insured and Insurance Indemnity</w:t>
      </w:r>
    </w:p>
    <w:p w14:paraId="05B32CF5" w14:textId="533E7824"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sum insured is the principal amount of the loan determined by any type of credit agreement, which decreases in accordance with its repayment.</w:t>
      </w:r>
    </w:p>
    <w:p w14:paraId="45D06847" w14:textId="1C6C6515"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Insurance indemnity is the amount of money which the Insurer pays to the Beneficiary upon the occurrence of an insured event and is equal to the principal amount of the loan as of the moment of the Borrower’s death. In the event of indebtedness, the amount to be indemnified shall be reduced by the amount of unpaid insurance premium.</w:t>
      </w:r>
    </w:p>
    <w:p w14:paraId="0ACA92B2" w14:textId="77777777" w:rsidR="00606106" w:rsidRPr="00606106" w:rsidRDefault="00606106" w:rsidP="00606106">
      <w:pPr>
        <w:spacing w:before="240" w:line="276" w:lineRule="auto"/>
        <w:jc w:val="both"/>
        <w:rPr>
          <w:rFonts w:ascii="Times New Roman" w:hAnsi="Times New Roman" w:cs="Times New Roman"/>
          <w:sz w:val="24"/>
          <w:szCs w:val="24"/>
        </w:rPr>
      </w:pPr>
    </w:p>
    <w:p w14:paraId="673D4B40" w14:textId="391C2315"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Insurance Period</w:t>
      </w:r>
    </w:p>
    <w:p w14:paraId="357CBFD3" w14:textId="3DED81DC"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insurance period is the period of time during which the insurance is in force. Under the present terms, the insurance period is effective until the expiry of the credit period/obligation determined by the relevant credit agreement.</w:t>
      </w:r>
    </w:p>
    <w:p w14:paraId="0DD7D8DF" w14:textId="04B5B82A"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Borrower shall be deemed insured for life from the moment the loan is issued by the Beneficiary.</w:t>
      </w:r>
    </w:p>
    <w:p w14:paraId="2CA7A6F9" w14:textId="5495E40E"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a particular loan provides for more than one borrower, the present insurance terms shall apply fully to all such borrowers, as joint and several debtor(s).</w:t>
      </w:r>
    </w:p>
    <w:p w14:paraId="3BA65C72" w14:textId="77777777" w:rsidR="00606106" w:rsidRPr="00606106" w:rsidRDefault="00606106" w:rsidP="00606106">
      <w:pPr>
        <w:spacing w:before="240" w:line="276" w:lineRule="auto"/>
        <w:jc w:val="both"/>
        <w:rPr>
          <w:rFonts w:ascii="Times New Roman" w:hAnsi="Times New Roman" w:cs="Times New Roman"/>
          <w:sz w:val="24"/>
          <w:szCs w:val="24"/>
        </w:rPr>
      </w:pPr>
    </w:p>
    <w:p w14:paraId="36BD6EA2" w14:textId="51D3EEFA"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Age of the Insured</w:t>
      </w:r>
    </w:p>
    <w:p w14:paraId="1C49FDF7" w14:textId="55C3F19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age of the Insured at the moment of insurance must not be less than 18 years.</w:t>
      </w:r>
    </w:p>
    <w:p w14:paraId="5DA0C0A6" w14:textId="1D961B27"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lastRenderedPageBreak/>
        <w:t>The insurance shall not be automatically renewed if, at the moment of renewal of the insurance, the age of the Insured exceeds 73 years.</w:t>
      </w:r>
    </w:p>
    <w:p w14:paraId="1BB7CA80" w14:textId="77777777" w:rsidR="00606106" w:rsidRPr="00606106" w:rsidRDefault="00606106" w:rsidP="00606106">
      <w:pPr>
        <w:spacing w:before="240" w:line="276" w:lineRule="auto"/>
        <w:jc w:val="both"/>
        <w:rPr>
          <w:rFonts w:ascii="Times New Roman" w:hAnsi="Times New Roman" w:cs="Times New Roman"/>
          <w:sz w:val="24"/>
          <w:szCs w:val="24"/>
        </w:rPr>
      </w:pPr>
    </w:p>
    <w:p w14:paraId="7B0B8AED" w14:textId="025374DF"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Insurance Premium and Payment Terms</w:t>
      </w:r>
    </w:p>
    <w:p w14:paraId="04DD9226" w14:textId="4DED19AD"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premium must be paid by the Policyholder in accordance with the schedule.</w:t>
      </w:r>
    </w:p>
    <w:p w14:paraId="433C6C95" w14:textId="300E3AAA"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payment of the insurance premium is not made for 3 (three) consecutive months, the insurance in respect of which such debt is accrued shall be deemed cancelled, and an insured event occurring after its cancellation shall no longer be subject to review/indemnification.</w:t>
      </w:r>
    </w:p>
    <w:p w14:paraId="001E737D" w14:textId="6D5C1716"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Bank is authorized, in accordance with the procedure established by legislation and by agreement with the Policyholder/Beneficiary, to cancel the insurance. In such case, the unearned part of the insurance premium shall be returned to the Policyholder according to the principle of rounding to a month. Each incomplete month shall be considered a full month.</w:t>
      </w:r>
    </w:p>
    <w:p w14:paraId="3DA1180D" w14:textId="77777777" w:rsidR="00606106" w:rsidRPr="00606106" w:rsidRDefault="00606106" w:rsidP="00606106">
      <w:pPr>
        <w:spacing w:before="240" w:line="276" w:lineRule="auto"/>
        <w:jc w:val="both"/>
        <w:rPr>
          <w:rFonts w:ascii="Times New Roman" w:hAnsi="Times New Roman" w:cs="Times New Roman"/>
          <w:sz w:val="24"/>
          <w:szCs w:val="24"/>
        </w:rPr>
      </w:pPr>
    </w:p>
    <w:p w14:paraId="2B413058" w14:textId="0A3DA0BB"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Terms of Insurance Indemnity</w:t>
      </w:r>
    </w:p>
    <w:p w14:paraId="7EE860B4" w14:textId="4B5984DF"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Upon receiving notice/information about the occurrence of an insured event, the Beneficiary shall notify the Bank of the occurrence of the insured event within the term provided for by the Agreement.</w:t>
      </w:r>
    </w:p>
    <w:p w14:paraId="33D2E595" w14:textId="425C2CA5"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Beneficiary is obliged, upon receiving the relevant information, to send a notice to the Bank regarding the event (the Borrower’s death) no later than within 1 (one) week from receiving the information. Notice shall be delivered by sending it to the e-mail address of the contact person indicated in the cooperation agreement. At the same time, cases shall not be considered insured events if more than 90 (ninety) calendar days have elapsed from the death of the Insured until the Beneficiary was informed.</w:t>
      </w:r>
    </w:p>
    <w:p w14:paraId="3CBE5946" w14:textId="21537AD3"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necessary condition for insurance indemnity is the submission by the Beneficiary to the Insurer, within a maximum of 18 (eighteen) months from informing the Insurer, of the following documentation:</w:t>
      </w:r>
    </w:p>
    <w:p w14:paraId="6D73AB98" w14:textId="68945FC3"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medical application completed by the Insured at the moment of arranging the insurance, if at the moment of issuing the loan the Beneficiary required it and completion of such application was mandatory for the Borrower, and if the original document has not been provided to the Bank.</w:t>
      </w:r>
    </w:p>
    <w:p w14:paraId="098AC5E8" w14:textId="5FAFB9D6"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copy of the Insured’s death certificate or a copy of a court decision declaring the person dead.</w:t>
      </w:r>
    </w:p>
    <w:p w14:paraId="2BD7071C" w14:textId="16A37D72"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 xml:space="preserve">A medical certificate indicating the causes of death and the stages of development of the disease, specifically Form No. 106-4 and Form No. 100, or a copy of the death </w:t>
      </w:r>
      <w:proofErr w:type="spellStart"/>
      <w:r w:rsidRPr="00C10981">
        <w:rPr>
          <w:rFonts w:ascii="Times New Roman" w:hAnsi="Times New Roman" w:cs="Times New Roman"/>
          <w:sz w:val="24"/>
          <w:szCs w:val="24"/>
        </w:rPr>
        <w:t>epicrisis</w:t>
      </w:r>
      <w:proofErr w:type="spellEnd"/>
      <w:r w:rsidRPr="00C10981">
        <w:rPr>
          <w:rFonts w:ascii="Times New Roman" w:hAnsi="Times New Roman" w:cs="Times New Roman"/>
          <w:sz w:val="24"/>
          <w:szCs w:val="24"/>
        </w:rPr>
        <w:t>/extract from the medical history.</w:t>
      </w:r>
    </w:p>
    <w:p w14:paraId="73388EFE" w14:textId="27DE0428"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In the case of death of the Insured person caused by an accident, an act drawn up by the relevant law-enforcement authorities.</w:t>
      </w:r>
    </w:p>
    <w:p w14:paraId="5BD28D99" w14:textId="4EB94297"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copy of the loan agreement and a loan statement.</w:t>
      </w:r>
    </w:p>
    <w:p w14:paraId="378F1301" w14:textId="232E5A27"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A copy of the Insured’s identity card.</w:t>
      </w:r>
    </w:p>
    <w:p w14:paraId="06D8E0D6" w14:textId="1B2ADFF3" w:rsidR="00C10981" w:rsidRPr="00C10981" w:rsidRDefault="00C10981" w:rsidP="00C10981">
      <w:pPr>
        <w:pStyle w:val="ListParagraph"/>
        <w:numPr>
          <w:ilvl w:val="2"/>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the cause of death is not established by the other submitted documents, then, according to the Bank’s request, a medical/forensic medical examination report indicating the direct cause of death.</w:t>
      </w:r>
    </w:p>
    <w:p w14:paraId="4936328E" w14:textId="1839B4D0"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If the documents submitted to the Bank do not establish the cause of death, the Bank may request additional documents related to the death of the Insured.</w:t>
      </w:r>
    </w:p>
    <w:p w14:paraId="3F3E4FFF" w14:textId="7FEEF9E7" w:rsidR="00C10981" w:rsidRP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t>The Insurer shall indemnify the principal amount of the loan existing as of the date of death of the Borrower/Co-borrower, taking into account the Borrower’s/Co-borrower’s determined share participation in the loan, which share participation is determined according to the information provided by the Beneficiary to the Insurer after the loan is issued.</w:t>
      </w:r>
    </w:p>
    <w:p w14:paraId="548FBE61" w14:textId="3510C205" w:rsidR="00C10981" w:rsidRDefault="00C10981" w:rsidP="00C10981">
      <w:pPr>
        <w:pStyle w:val="ListParagraph"/>
        <w:numPr>
          <w:ilvl w:val="1"/>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sz w:val="24"/>
          <w:szCs w:val="24"/>
        </w:rPr>
        <w:lastRenderedPageBreak/>
        <w:t>The parties agree that an insured event for which the insurance indemnity payable to be issued for each Borrower in total, taking into account all loans, does not exceed GEL 2,000 (two thousand), shall be paid only on the basis of submission of the Borrower’s death certificate. The Insurer reserves the right to review and/or change this condition at its discretion after 6 months from signing this annex, on the basis of prior agreement with the Policyholder. For the avoidance of any doubt, the parties agree that if the Insurer independently obtains medical documentation related to such case, the insured event shall be regulated through the standard process.</w:t>
      </w:r>
    </w:p>
    <w:p w14:paraId="4D6A079E" w14:textId="77777777" w:rsidR="00606106" w:rsidRPr="00606106" w:rsidRDefault="00606106" w:rsidP="00606106">
      <w:pPr>
        <w:spacing w:before="240" w:line="276" w:lineRule="auto"/>
        <w:jc w:val="both"/>
        <w:rPr>
          <w:rFonts w:ascii="Times New Roman" w:hAnsi="Times New Roman" w:cs="Times New Roman"/>
          <w:sz w:val="24"/>
          <w:szCs w:val="24"/>
        </w:rPr>
      </w:pPr>
    </w:p>
    <w:p w14:paraId="298779CA" w14:textId="48462D6E"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Exclusions - in the event of the death of the Insured, insurance indemnity shall not be paid if the insured event occurred:</w:t>
      </w:r>
    </w:p>
    <w:p w14:paraId="4D57F919" w14:textId="7A7416B2"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war, invasion, military actions, whether war is declared or undeclared, civil war, revolution, rebellion; by a strike, if such strike is directed toward a coup; by the act of any person acting on the instructions of any organization or independently, whose purpose is to overthrow de jure or de facto authority by means of a military coup or to influence it by terrorist or forceful methods.</w:t>
      </w:r>
    </w:p>
    <w:p w14:paraId="42FC0F32" w14:textId="0E3B4E1C"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Death caused by COVID-19 during an epidemic/pandemic period.</w:t>
      </w:r>
    </w:p>
    <w:p w14:paraId="5ADFC635" w14:textId="4024C596"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environmental contamination caused by ionizing radiation, radioactive contamination of the environment, or ignition of nuclear fuel.</w:t>
      </w:r>
    </w:p>
    <w:p w14:paraId="55C3BF50" w14:textId="293E787A"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Insured being under the influence of narcotic, psychotropic or toxic substances.</w:t>
      </w:r>
    </w:p>
    <w:p w14:paraId="518F34A8" w14:textId="70EBFEB8"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If the Insured, while under the influence of alcohol, was driving a motor vehicle and a traffic accident occurred, or death caused by alcoholic intoxication of the Insured.</w:t>
      </w:r>
    </w:p>
    <w:p w14:paraId="7DE3EDA4" w14:textId="5306AE12"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suicide committed by the Insured or attempted suicide, intentional self-injury.</w:t>
      </w:r>
    </w:p>
    <w:p w14:paraId="2C2099E6" w14:textId="2665C291"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murder of the Insured, attempted murder or bodily/health injury, in which the Policyholder and/or other borrowers of the loan and/or the Borrower’s heirs appear as direct or indirect participants.</w:t>
      </w:r>
    </w:p>
    <w:p w14:paraId="79BCE6FD" w14:textId="166DE235"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commission or attempted commission by the Insured of a crime provided for by the Criminal Code, or during the commission/attempted commission of a crime.</w:t>
      </w:r>
    </w:p>
    <w:p w14:paraId="5EF68154" w14:textId="16E8CDEB"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infection of the Insured with AIDS or HIV.</w:t>
      </w:r>
    </w:p>
    <w:p w14:paraId="31CC5273" w14:textId="6D2A79AC"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mental illness of the Insured or clouding of mind/consciousness caused by mental illness.</w:t>
      </w:r>
    </w:p>
    <w:p w14:paraId="0683E4F1" w14:textId="356D34A6"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the conduct of a military or operational-search operation, where a military or operational-search operation means an armed special operation, and if the Insured’s death is caused by such operation.</w:t>
      </w:r>
    </w:p>
    <w:p w14:paraId="0CF298E4" w14:textId="232FD4B5"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In the course of a military, police or operational-search operation conducted against the Insured.</w:t>
      </w:r>
    </w:p>
    <w:p w14:paraId="51E0242A" w14:textId="1F5C6C1F"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a speed competition using any land, air or water vehicle.</w:t>
      </w:r>
    </w:p>
    <w:p w14:paraId="1ED84816" w14:textId="2D11167E"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Insured voluntarily putting himself/herself in danger, except where his/her action is directed toward saving a human life.</w:t>
      </w:r>
    </w:p>
    <w:p w14:paraId="6A522BE3" w14:textId="2F952D7D"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Insured fulfilling the terms of a wager, performing acrobatic tricks, setting a record or attempting to do so.</w:t>
      </w:r>
    </w:p>
    <w:p w14:paraId="6D6A90A2" w14:textId="3BAD0DCE"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professional sports (competition, training, demonstration performance).</w:t>
      </w:r>
    </w:p>
    <w:p w14:paraId="2C3B89A5" w14:textId="274424C3"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t>By the participation of the Insured in the following amateur sports: combat sports, scuba diving, parachute or hang-glider jumping, rock climbing, alpinism, speleology.</w:t>
      </w:r>
    </w:p>
    <w:p w14:paraId="031C3CE9" w14:textId="0B3E3619" w:rsidR="00C10981" w:rsidRPr="00606106" w:rsidRDefault="00C10981" w:rsidP="00C10981">
      <w:pPr>
        <w:pStyle w:val="ListParagraph"/>
        <w:numPr>
          <w:ilvl w:val="1"/>
          <w:numId w:val="7"/>
        </w:numPr>
        <w:spacing w:before="240" w:line="276" w:lineRule="auto"/>
        <w:ind w:left="90"/>
        <w:jc w:val="both"/>
        <w:rPr>
          <w:rFonts w:ascii="Times New Roman" w:hAnsi="Times New Roman" w:cs="Times New Roman"/>
          <w:b/>
          <w:bCs/>
          <w:sz w:val="24"/>
          <w:szCs w:val="24"/>
        </w:rPr>
      </w:pPr>
      <w:r w:rsidRPr="00606106">
        <w:rPr>
          <w:rFonts w:ascii="Times New Roman" w:hAnsi="Times New Roman" w:cs="Times New Roman"/>
          <w:b/>
          <w:bCs/>
          <w:sz w:val="24"/>
          <w:szCs w:val="24"/>
        </w:rPr>
        <w:lastRenderedPageBreak/>
        <w:t>During the waiting period, death of the Insured as a result of the following serious disease(s): malignant tumor, liver fibrosis or cirrhosis, chronic liver failure, hepatitis C, chronic kidney failure, chronic heart failure, congenital heart anomalies, diabetes mellitus or its complication, diabetes insipidus or its complication, cerebrovascular diseases.</w:t>
      </w:r>
    </w:p>
    <w:p w14:paraId="23727331" w14:textId="77777777" w:rsidR="00606106" w:rsidRPr="00606106" w:rsidRDefault="00606106" w:rsidP="00606106">
      <w:pPr>
        <w:spacing w:before="240" w:line="276" w:lineRule="auto"/>
        <w:jc w:val="both"/>
        <w:rPr>
          <w:rFonts w:ascii="Times New Roman" w:hAnsi="Times New Roman" w:cs="Times New Roman"/>
          <w:b/>
          <w:bCs/>
          <w:sz w:val="24"/>
          <w:szCs w:val="24"/>
        </w:rPr>
      </w:pPr>
    </w:p>
    <w:p w14:paraId="6D59726F" w14:textId="77777777" w:rsidR="00C10981" w:rsidRPr="00DB5DEC" w:rsidRDefault="00C10981" w:rsidP="00DB5DEC">
      <w:pPr>
        <w:spacing w:before="240" w:line="276" w:lineRule="auto"/>
        <w:jc w:val="both"/>
        <w:rPr>
          <w:rFonts w:ascii="Times New Roman" w:hAnsi="Times New Roman" w:cs="Times New Roman"/>
          <w:b/>
          <w:bCs/>
          <w:sz w:val="24"/>
          <w:szCs w:val="24"/>
        </w:rPr>
      </w:pPr>
      <w:r w:rsidRPr="00DB5DEC">
        <w:rPr>
          <w:rFonts w:ascii="Times New Roman" w:hAnsi="Times New Roman" w:cs="Times New Roman"/>
          <w:b/>
          <w:bCs/>
          <w:sz w:val="24"/>
          <w:szCs w:val="24"/>
        </w:rPr>
        <w:t>The duration of the waiting period shall be determined as follows:</w:t>
      </w:r>
    </w:p>
    <w:tbl>
      <w:tblPr>
        <w:tblStyle w:val="TableGrid"/>
        <w:tblW w:w="0" w:type="auto"/>
        <w:jc w:val="center"/>
        <w:tblLook w:val="04A0" w:firstRow="1" w:lastRow="0" w:firstColumn="1" w:lastColumn="0" w:noHBand="0" w:noVBand="1"/>
      </w:tblPr>
      <w:tblGrid>
        <w:gridCol w:w="5179"/>
        <w:gridCol w:w="5179"/>
      </w:tblGrid>
      <w:tr w:rsidR="00C10981" w:rsidRPr="00C10981" w14:paraId="30EAC503" w14:textId="77777777" w:rsidTr="007959E7">
        <w:trPr>
          <w:jc w:val="center"/>
        </w:trPr>
        <w:tc>
          <w:tcPr>
            <w:tcW w:w="5184" w:type="dxa"/>
            <w:vAlign w:val="center"/>
          </w:tcPr>
          <w:p w14:paraId="1B880A95" w14:textId="77777777" w:rsidR="00C10981" w:rsidRPr="00C10981" w:rsidRDefault="00C10981" w:rsidP="00C10981">
            <w:p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Secured loans</w:t>
            </w:r>
          </w:p>
        </w:tc>
        <w:tc>
          <w:tcPr>
            <w:tcW w:w="5184" w:type="dxa"/>
            <w:vAlign w:val="center"/>
          </w:tcPr>
          <w:p w14:paraId="4D0AC314" w14:textId="77777777" w:rsidR="00C10981" w:rsidRPr="00C10981" w:rsidRDefault="00C10981" w:rsidP="00C10981">
            <w:pPr>
              <w:pStyle w:val="ListParagraph"/>
              <w:numPr>
                <w:ilvl w:val="0"/>
                <w:numId w:val="7"/>
              </w:num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12 months</w:t>
            </w:r>
          </w:p>
        </w:tc>
      </w:tr>
      <w:tr w:rsidR="00C10981" w:rsidRPr="00C10981" w14:paraId="26C42CB4" w14:textId="77777777" w:rsidTr="007959E7">
        <w:trPr>
          <w:jc w:val="center"/>
        </w:trPr>
        <w:tc>
          <w:tcPr>
            <w:tcW w:w="5184" w:type="dxa"/>
            <w:vAlign w:val="center"/>
          </w:tcPr>
          <w:p w14:paraId="3994C966" w14:textId="77777777" w:rsidR="00C10981" w:rsidRPr="00C10981" w:rsidRDefault="00C10981" w:rsidP="00C10981">
            <w:pPr>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Unsecured loans</w:t>
            </w:r>
          </w:p>
        </w:tc>
        <w:tc>
          <w:tcPr>
            <w:tcW w:w="5184" w:type="dxa"/>
            <w:vAlign w:val="center"/>
          </w:tcPr>
          <w:p w14:paraId="1BFF2892" w14:textId="77777777" w:rsidR="00C10981" w:rsidRPr="00C10981" w:rsidRDefault="00C10981" w:rsidP="00606106">
            <w:pPr>
              <w:pStyle w:val="ListParagraph"/>
              <w:spacing w:before="240" w:line="276" w:lineRule="auto"/>
              <w:ind w:left="90"/>
              <w:jc w:val="both"/>
              <w:rPr>
                <w:rFonts w:ascii="Times New Roman" w:hAnsi="Times New Roman" w:cs="Times New Roman"/>
                <w:sz w:val="24"/>
                <w:szCs w:val="24"/>
              </w:rPr>
            </w:pPr>
            <w:r w:rsidRPr="00C10981">
              <w:rPr>
                <w:rFonts w:ascii="Times New Roman" w:hAnsi="Times New Roman" w:cs="Times New Roman"/>
                <w:b/>
                <w:sz w:val="24"/>
                <w:szCs w:val="24"/>
              </w:rPr>
              <w:t>6 months</w:t>
            </w:r>
          </w:p>
        </w:tc>
      </w:tr>
    </w:tbl>
    <w:p w14:paraId="4EF3A9B1"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8. Conditions for Termination/Cancellation of the Insurance Agreement:</w:t>
      </w:r>
    </w:p>
    <w:p w14:paraId="74C1BCE5"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 Expiry of the term of the Agreement;</w:t>
      </w:r>
    </w:p>
    <w:p w14:paraId="477895FA"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 Payment of indemnity for the insured event;</w:t>
      </w:r>
    </w:p>
    <w:p w14:paraId="781E6A2A"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 If the obligation arising from the credit agreement has been fully repaid ahead of schedule; in such case, the unearned premium shall be returned to the Policyholder, if the relevant amount has been paid in advance, according to the principle of rounding to a quarter. Each incomplete quarter shall be considered a full quarter.</w:t>
      </w:r>
    </w:p>
    <w:p w14:paraId="41DBBF0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Information on cancellation/termination of the insurance agreement at the initiative of the Beneficiary must be provided to the Insurer by the Beneficiary or the Policyholder.</w:t>
      </w:r>
    </w:p>
    <w:p w14:paraId="263B32A7"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Life Insurance Instruction:</w:t>
      </w:r>
    </w:p>
    <w:tbl>
      <w:tblPr>
        <w:tblStyle w:val="TableGrid"/>
        <w:tblW w:w="0" w:type="auto"/>
        <w:jc w:val="center"/>
        <w:tblLook w:val="04A0" w:firstRow="1" w:lastRow="0" w:firstColumn="1" w:lastColumn="0" w:noHBand="0" w:noVBand="1"/>
      </w:tblPr>
      <w:tblGrid>
        <w:gridCol w:w="5179"/>
        <w:gridCol w:w="5179"/>
      </w:tblGrid>
      <w:tr w:rsidR="00C10981" w:rsidRPr="00C10981" w14:paraId="5587C839" w14:textId="77777777" w:rsidTr="00606106">
        <w:trPr>
          <w:jc w:val="center"/>
        </w:trPr>
        <w:tc>
          <w:tcPr>
            <w:tcW w:w="5179" w:type="dxa"/>
            <w:shd w:val="clear" w:color="auto" w:fill="D9EAF7"/>
            <w:vAlign w:val="center"/>
          </w:tcPr>
          <w:p w14:paraId="4812E75E"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Age</w:t>
            </w:r>
          </w:p>
        </w:tc>
        <w:tc>
          <w:tcPr>
            <w:tcW w:w="5179" w:type="dxa"/>
            <w:shd w:val="clear" w:color="auto" w:fill="D9EAF7"/>
            <w:vAlign w:val="center"/>
          </w:tcPr>
          <w:p w14:paraId="1842CB8E"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Maximum limit (in total for each borrower)</w:t>
            </w:r>
          </w:p>
        </w:tc>
      </w:tr>
      <w:tr w:rsidR="00C10981" w:rsidRPr="00C10981" w14:paraId="15B7943D" w14:textId="77777777" w:rsidTr="00606106">
        <w:trPr>
          <w:jc w:val="center"/>
        </w:trPr>
        <w:tc>
          <w:tcPr>
            <w:tcW w:w="5179" w:type="dxa"/>
            <w:vAlign w:val="center"/>
          </w:tcPr>
          <w:p w14:paraId="5519110A"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18-55 years</w:t>
            </w:r>
          </w:p>
        </w:tc>
        <w:tc>
          <w:tcPr>
            <w:tcW w:w="5179" w:type="dxa"/>
            <w:vAlign w:val="center"/>
          </w:tcPr>
          <w:p w14:paraId="3DAFA0C6"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200,000</w:t>
            </w:r>
          </w:p>
        </w:tc>
      </w:tr>
      <w:tr w:rsidR="00C10981" w:rsidRPr="00C10981" w14:paraId="15E31101" w14:textId="77777777" w:rsidTr="00606106">
        <w:trPr>
          <w:jc w:val="center"/>
        </w:trPr>
        <w:tc>
          <w:tcPr>
            <w:tcW w:w="5179" w:type="dxa"/>
            <w:vAlign w:val="center"/>
          </w:tcPr>
          <w:p w14:paraId="3EBEA68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56-60 years</w:t>
            </w:r>
          </w:p>
        </w:tc>
        <w:tc>
          <w:tcPr>
            <w:tcW w:w="5179" w:type="dxa"/>
            <w:vAlign w:val="center"/>
          </w:tcPr>
          <w:p w14:paraId="33065B23"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75,000</w:t>
            </w:r>
          </w:p>
        </w:tc>
      </w:tr>
      <w:tr w:rsidR="00C10981" w:rsidRPr="00C10981" w14:paraId="1BD3A458" w14:textId="77777777" w:rsidTr="00606106">
        <w:trPr>
          <w:jc w:val="center"/>
        </w:trPr>
        <w:tc>
          <w:tcPr>
            <w:tcW w:w="5179" w:type="dxa"/>
            <w:vAlign w:val="center"/>
          </w:tcPr>
          <w:p w14:paraId="43100B2F"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61-65 years</w:t>
            </w:r>
          </w:p>
        </w:tc>
        <w:tc>
          <w:tcPr>
            <w:tcW w:w="5179" w:type="dxa"/>
            <w:vAlign w:val="center"/>
          </w:tcPr>
          <w:p w14:paraId="5989F046"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30,000</w:t>
            </w:r>
          </w:p>
        </w:tc>
      </w:tr>
      <w:tr w:rsidR="00C10981" w:rsidRPr="00C10981" w14:paraId="5C85569F" w14:textId="77777777" w:rsidTr="00606106">
        <w:trPr>
          <w:jc w:val="center"/>
        </w:trPr>
        <w:tc>
          <w:tcPr>
            <w:tcW w:w="5179" w:type="dxa"/>
            <w:vAlign w:val="center"/>
          </w:tcPr>
          <w:p w14:paraId="2154819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66-73 years</w:t>
            </w:r>
          </w:p>
        </w:tc>
        <w:tc>
          <w:tcPr>
            <w:tcW w:w="5179" w:type="dxa"/>
            <w:vAlign w:val="center"/>
          </w:tcPr>
          <w:p w14:paraId="41FB30A1"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GEL 10,000</w:t>
            </w:r>
          </w:p>
        </w:tc>
      </w:tr>
      <w:tr w:rsidR="00606106" w:rsidRPr="00C10981" w14:paraId="081A2C91" w14:textId="77777777" w:rsidTr="002F5E61">
        <w:trPr>
          <w:jc w:val="center"/>
        </w:trPr>
        <w:tc>
          <w:tcPr>
            <w:tcW w:w="10358" w:type="dxa"/>
            <w:gridSpan w:val="2"/>
            <w:vAlign w:val="center"/>
          </w:tcPr>
          <w:p w14:paraId="5B0C7610" w14:textId="53324139" w:rsidR="00606106" w:rsidRPr="00C10981" w:rsidRDefault="00606106"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Process: Insurance is carried out automatically, without completion of a health application.</w:t>
            </w:r>
          </w:p>
        </w:tc>
      </w:tr>
    </w:tbl>
    <w:p w14:paraId="286A4396" w14:textId="35CFC517"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Insurance above the limits, sub-limits and age thresholds indicated in the table is possible upon prior agreement with the Insurer, on the basis of an individual risk assessment, after completion of the relevant health questionnaire and, if requested, after conducting medical examinations. In such case, the annual tariff shall not exceed 2.1%.</w:t>
      </w:r>
    </w:p>
    <w:p w14:paraId="0FAF89EB" w14:textId="4BCEC28F"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lastRenderedPageBreak/>
        <w:t>Upon the Borrower reaching the age of 73, the insurance shall terminate and shall no longer be subject to automatic continuation.</w:t>
      </w:r>
    </w:p>
    <w:p w14:paraId="5C4ABE3B" w14:textId="359F943C"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The costs of medical examinations required by the Insurer for the individual assessment of the Borrower’s risk shall be borne by the Policyholder.</w:t>
      </w:r>
    </w:p>
    <w:p w14:paraId="3A70D0AD" w14:textId="3E0F7A25" w:rsidR="00C10981" w:rsidRPr="00C10981" w:rsidRDefault="00C10981" w:rsidP="00C10981">
      <w:pPr>
        <w:pStyle w:val="ListParagraph"/>
        <w:numPr>
          <w:ilvl w:val="0"/>
          <w:numId w:val="8"/>
        </w:num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In accordance with this annex, the Borrower shall be deemed insured for life from the moment of taking the loan, and the obligation to pay the premium shall arise in accordance with the insurance premium payment schedule.</w:t>
      </w:r>
    </w:p>
    <w:p w14:paraId="15023E43"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b/>
          <w:sz w:val="24"/>
          <w:szCs w:val="24"/>
        </w:rPr>
        <w:t xml:space="preserve">Note: </w:t>
      </w:r>
      <w:r w:rsidRPr="00606106">
        <w:rPr>
          <w:rFonts w:ascii="Times New Roman" w:hAnsi="Times New Roman" w:cs="Times New Roman"/>
          <w:bCs/>
          <w:sz w:val="24"/>
          <w:szCs w:val="24"/>
        </w:rPr>
        <w:t>The information defined by this Information Sheet does not constitute full and exhaustive information on the insurance terms. Accordingly, becoming acquainted with it and the Bank making oral explanations related to it does not give rise to legal consequences and, accordingly, to claims among the Bank, the Insurer and the Client.</w:t>
      </w:r>
    </w:p>
    <w:p w14:paraId="121B59C6"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The Client is authorized to submit insurance from any other insurance company, whereby:</w:t>
      </w:r>
    </w:p>
    <w:p w14:paraId="3E4FB4B5"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a) at minimum, the indebtedness arising from the credit to be issued must be secured against the risk of death of all clients of the credit to be issued;</w:t>
      </w:r>
    </w:p>
    <w:p w14:paraId="12D44AF0"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b) the Bank must be designated as the sole beneficiary;</w:t>
      </w:r>
    </w:p>
    <w:p w14:paraId="754BA217"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c) the relevant insurance company must not be able to change/cancel the policy without agreement with the Bank;</w:t>
      </w:r>
    </w:p>
    <w:p w14:paraId="71964271"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d) the indebtedness arising from the credit must be insured for its full term, and the Borrower must have fully paid the insurance premium for the same term;</w:t>
      </w:r>
    </w:p>
    <w:p w14:paraId="2C7FCD15" w14:textId="77777777" w:rsidR="00C10981" w:rsidRPr="00C10981" w:rsidRDefault="00C10981" w:rsidP="00C10981">
      <w:pPr>
        <w:spacing w:before="240" w:line="276" w:lineRule="auto"/>
        <w:jc w:val="both"/>
        <w:rPr>
          <w:rFonts w:ascii="Times New Roman" w:hAnsi="Times New Roman" w:cs="Times New Roman"/>
          <w:sz w:val="24"/>
          <w:szCs w:val="24"/>
        </w:rPr>
      </w:pPr>
      <w:r w:rsidRPr="00C10981">
        <w:rPr>
          <w:rFonts w:ascii="Times New Roman" w:hAnsi="Times New Roman" w:cs="Times New Roman"/>
          <w:sz w:val="24"/>
          <w:szCs w:val="24"/>
        </w:rPr>
        <w:t>e) different terms must not worsen the position of the Bank as beneficiary.</w:t>
      </w:r>
    </w:p>
    <w:p w14:paraId="64821151" w14:textId="77777777" w:rsidR="00B6278C" w:rsidRPr="00C10981" w:rsidRDefault="00B6278C" w:rsidP="00C10981">
      <w:pPr>
        <w:spacing w:before="240" w:line="276" w:lineRule="auto"/>
        <w:jc w:val="both"/>
        <w:rPr>
          <w:rFonts w:ascii="Times New Roman" w:hAnsi="Times New Roman" w:cs="Times New Roman"/>
          <w:sz w:val="24"/>
          <w:szCs w:val="24"/>
        </w:rPr>
      </w:pPr>
    </w:p>
    <w:sectPr w:rsidR="00B6278C" w:rsidRPr="00C10981" w:rsidSect="00C10981">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5"/>
  </w:num>
  <w:num w:numId="2" w16cid:durableId="367723471">
    <w:abstractNumId w:val="0"/>
  </w:num>
  <w:num w:numId="3" w16cid:durableId="1720352324">
    <w:abstractNumId w:val="6"/>
  </w:num>
  <w:num w:numId="4" w16cid:durableId="356157">
    <w:abstractNumId w:val="4"/>
  </w:num>
  <w:num w:numId="5" w16cid:durableId="831213821">
    <w:abstractNumId w:val="1"/>
  </w:num>
  <w:num w:numId="6" w16cid:durableId="2134248899">
    <w:abstractNumId w:val="2"/>
  </w:num>
  <w:num w:numId="7" w16cid:durableId="1203903632">
    <w:abstractNumId w:val="7"/>
  </w:num>
  <w:num w:numId="8" w16cid:durableId="1464075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0D79C1"/>
    <w:rsid w:val="000E0EA8"/>
    <w:rsid w:val="001562A3"/>
    <w:rsid w:val="003967A3"/>
    <w:rsid w:val="00416AD6"/>
    <w:rsid w:val="0049352C"/>
    <w:rsid w:val="00606106"/>
    <w:rsid w:val="00795672"/>
    <w:rsid w:val="00B6278C"/>
    <w:rsid w:val="00C10981"/>
    <w:rsid w:val="00C1399D"/>
    <w:rsid w:val="00D523ED"/>
    <w:rsid w:val="00D91D9D"/>
    <w:rsid w:val="00DB5DEC"/>
    <w:rsid w:val="00DC2BFD"/>
    <w:rsid w:val="00DE491F"/>
    <w:rsid w:val="00E4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1922</Words>
  <Characters>10132</Characters>
  <Application>Microsoft Office Word</Application>
  <DocSecurity>0</DocSecurity>
  <Lines>171</Lines>
  <Paragraphs>103</Paragraphs>
  <ScaleCrop>false</ScaleCrop>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9</cp:revision>
  <dcterms:created xsi:type="dcterms:W3CDTF">2026-05-04T07:08:00Z</dcterms:created>
  <dcterms:modified xsi:type="dcterms:W3CDTF">2026-05-04T08:34:00Z</dcterms:modified>
</cp:coreProperties>
</file>